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A" w:rsidRDefault="00DD42BA" w:rsidP="00DD42B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國立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北大學師資培育中心</w:t>
      </w:r>
    </w:p>
    <w:p w:rsidR="00DD42BA" w:rsidRPr="00DD42BA" w:rsidRDefault="00DD42BA" w:rsidP="00DD42B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 w:hint="eastAsia"/>
          <w:color w:val="000000"/>
          <w:kern w:val="0"/>
          <w:sz w:val="22"/>
        </w:rPr>
      </w:pPr>
      <w:r w:rsidRPr="00DD42BA">
        <w:rPr>
          <w:rFonts w:ascii="標楷體" w:eastAsia="標楷體" w:cs="標楷體" w:hint="eastAsia"/>
          <w:color w:val="000000"/>
          <w:kern w:val="0"/>
          <w:sz w:val="22"/>
        </w:rPr>
        <w:t>「國民中學語文學習領域英語主修專長及高級中等學校英文科」</w:t>
      </w:r>
    </w:p>
    <w:p w:rsidR="00DD42BA" w:rsidRPr="00DD42BA" w:rsidRDefault="00DD42BA" w:rsidP="00DD42B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 w:hint="eastAsia"/>
          <w:color w:val="000000"/>
          <w:kern w:val="0"/>
          <w:sz w:val="22"/>
        </w:rPr>
      </w:pPr>
      <w:r w:rsidRPr="00DD42BA">
        <w:rPr>
          <w:rFonts w:ascii="標楷體" w:eastAsia="標楷體" w:cs="標楷體" w:hint="eastAsia"/>
          <w:color w:val="000000"/>
          <w:kern w:val="0"/>
          <w:sz w:val="22"/>
        </w:rPr>
        <w:t xml:space="preserve">「國民中學語文學習領域英語主修專長」 </w:t>
      </w:r>
    </w:p>
    <w:p w:rsidR="00DD42BA" w:rsidRDefault="00DD42BA" w:rsidP="00DD42B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 w:hint="eastAsia"/>
          <w:color w:val="000000"/>
          <w:kern w:val="0"/>
          <w:sz w:val="22"/>
        </w:rPr>
      </w:pPr>
      <w:r w:rsidRPr="00DD42BA">
        <w:rPr>
          <w:rFonts w:ascii="標楷體" w:eastAsia="標楷體" w:cs="標楷體" w:hint="eastAsia"/>
          <w:color w:val="000000"/>
          <w:kern w:val="0"/>
          <w:sz w:val="22"/>
        </w:rPr>
        <w:t>「高級中等學校英文科」</w:t>
      </w:r>
    </w:p>
    <w:p w:rsidR="00563CD0" w:rsidRPr="00563CD0" w:rsidRDefault="00563CD0" w:rsidP="00DD42B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63CD0">
        <w:rPr>
          <w:rFonts w:ascii="標楷體" w:eastAsia="標楷體" w:cs="標楷體" w:hint="eastAsia"/>
          <w:color w:val="000000"/>
          <w:kern w:val="0"/>
          <w:sz w:val="32"/>
          <w:szCs w:val="32"/>
        </w:rPr>
        <w:t>專門課程</w:t>
      </w:r>
    </w:p>
    <w:p w:rsidR="00563CD0" w:rsidRPr="00563CD0" w:rsidRDefault="00563CD0" w:rsidP="00176F2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563CD0">
        <w:rPr>
          <w:rFonts w:ascii="標楷體" w:eastAsia="標楷體" w:cs="標楷體" w:hint="eastAsia"/>
          <w:color w:val="000000"/>
          <w:kern w:val="0"/>
          <w:sz w:val="32"/>
          <w:szCs w:val="32"/>
        </w:rPr>
        <w:t>符合相當於</w:t>
      </w:r>
      <w:r w:rsidRPr="00563CD0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CEF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語言參考架構</w:t>
      </w:r>
      <w:r w:rsidRPr="00563CD0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B2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級之各項英語檢定考試標準參照表</w:t>
      </w:r>
    </w:p>
    <w:p w:rsidR="00563CD0" w:rsidRPr="00563CD0" w:rsidRDefault="00563CD0" w:rsidP="00176F2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563CD0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Common European Framework of Reference for Languages: Learning, teaching, assessment (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簡稱</w:t>
      </w:r>
      <w:r w:rsidRPr="00563CD0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CEF)</w:t>
      </w:r>
    </w:p>
    <w:p w:rsidR="00563CD0" w:rsidRPr="00563CD0" w:rsidRDefault="00563CD0" w:rsidP="00563CD0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  <w:r w:rsidRPr="00563CD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年</w:t>
      </w:r>
      <w:r w:rsidR="00176F2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5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月</w:t>
      </w:r>
      <w:r w:rsidR="00176F2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30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日</w:t>
      </w:r>
      <w:r w:rsidRPr="00563CD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102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學年度第</w:t>
      </w:r>
      <w:r w:rsidR="00176F27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2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學期第</w:t>
      </w:r>
      <w:r w:rsidR="00176F2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次</w:t>
      </w:r>
      <w:r w:rsidR="00176F27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中心會議</w:t>
      </w:r>
      <w:r w:rsidRPr="00563CD0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通過</w:t>
      </w:r>
    </w:p>
    <w:tbl>
      <w:tblPr>
        <w:tblStyle w:val="a3"/>
        <w:tblW w:w="5000" w:type="pct"/>
        <w:jc w:val="center"/>
        <w:tblLook w:val="0000" w:firstRow="0" w:lastRow="0" w:firstColumn="0" w:lastColumn="0" w:noHBand="0" w:noVBand="0"/>
      </w:tblPr>
      <w:tblGrid>
        <w:gridCol w:w="2560"/>
        <w:gridCol w:w="1944"/>
        <w:gridCol w:w="1557"/>
        <w:gridCol w:w="4621"/>
      </w:tblGrid>
      <w:tr w:rsidR="00176F27" w:rsidRPr="00563CD0" w:rsidTr="00176F27">
        <w:trPr>
          <w:trHeight w:val="365"/>
          <w:jc w:val="center"/>
        </w:trPr>
        <w:tc>
          <w:tcPr>
            <w:tcW w:w="1198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考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試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名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稱</w:t>
            </w:r>
          </w:p>
        </w:tc>
        <w:tc>
          <w:tcPr>
            <w:tcW w:w="910" w:type="pct"/>
            <w:tcBorders>
              <w:top w:val="single" w:sz="24" w:space="0" w:color="auto"/>
            </w:tcBorders>
            <w:vAlign w:val="center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符合相當於</w:t>
            </w: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CEF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語言參考架構</w:t>
            </w: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B2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級</w:t>
            </w: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(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含</w:t>
            </w: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)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以上英語檢定</w:t>
            </w:r>
          </w:p>
        </w:tc>
        <w:tc>
          <w:tcPr>
            <w:tcW w:w="729" w:type="pct"/>
            <w:tcBorders>
              <w:top w:val="single" w:sz="24" w:space="0" w:color="auto"/>
            </w:tcBorders>
            <w:vAlign w:val="center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考試項目</w:t>
            </w:r>
          </w:p>
        </w:tc>
        <w:tc>
          <w:tcPr>
            <w:tcW w:w="2163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備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註</w:t>
            </w:r>
            <w:proofErr w:type="gramEnd"/>
          </w:p>
        </w:tc>
      </w:tr>
      <w:tr w:rsidR="00176F27" w:rsidRPr="00563CD0" w:rsidTr="00176F27">
        <w:trPr>
          <w:trHeight w:val="400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全民英檢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(GEPT)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中高級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複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試通過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聽說讀寫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無分項考試。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LTTC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財團法人語言訓練測驗中心。</w:t>
            </w:r>
          </w:p>
        </w:tc>
      </w:tr>
      <w:tr w:rsidR="00176F27" w:rsidRPr="00563CD0" w:rsidTr="00176F27">
        <w:trPr>
          <w:trHeight w:val="550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托福</w:t>
            </w:r>
            <w:proofErr w:type="spellStart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iBT</w:t>
            </w:r>
            <w:proofErr w:type="spellEnd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測驗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網路型態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)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(TOEFL </w:t>
            </w:r>
            <w:proofErr w:type="spellStart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iBT</w:t>
            </w:r>
            <w:proofErr w:type="spellEnd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聽力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21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；閱讀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22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口說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23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；寫作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21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聽說讀寫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無分項考試。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成績須符合各分項標準。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ETS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臺灣</w:t>
            </w:r>
            <w:proofErr w:type="gramStart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區代表忠欣股份有限公司</w:t>
            </w:r>
            <w:proofErr w:type="gramEnd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176F27" w:rsidRPr="00563CD0" w:rsidTr="00176F27">
        <w:trPr>
          <w:trHeight w:val="405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雅思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(IELTS)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6.0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聽說讀寫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無分項考試。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資料參考：雅思官方考試中心。</w:t>
            </w:r>
          </w:p>
        </w:tc>
      </w:tr>
      <w:tr w:rsidR="00176F27" w:rsidRPr="00563CD0" w:rsidTr="00176F27">
        <w:trPr>
          <w:trHeight w:val="1249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多益英語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測驗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(TOEIC)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聽力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400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；閱讀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385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聽讀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*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*</w:t>
            </w:r>
            <w:r w:rsidRPr="00563CD0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需另補齊「說、寫」考試成績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「聽、讀」合併考。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成績須符合各分項標準。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多益英語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測驗字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2008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年全面改制後已無新制或傳統之分。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ETS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臺灣</w:t>
            </w:r>
            <w:proofErr w:type="gramStart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區代表忠欣股份有限公司</w:t>
            </w:r>
            <w:proofErr w:type="gramEnd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日忠益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字第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132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號函修正。</w:t>
            </w:r>
          </w:p>
        </w:tc>
      </w:tr>
      <w:tr w:rsidR="00176F27" w:rsidRPr="00563CD0" w:rsidTr="00176F27">
        <w:trPr>
          <w:trHeight w:val="970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多益口說與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寫作測驗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(TOEIC Speaking and Writing Tests)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口說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160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；寫作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150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說寫</w:t>
            </w:r>
            <w:proofErr w:type="gramEnd"/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*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*</w:t>
            </w:r>
            <w:r w:rsidRPr="00563CD0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需另補齊「聽、讀」考試成績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「說、寫」合併考；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可單考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「口說」。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成績須符合各分項標準。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ETS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臺灣</w:t>
            </w:r>
            <w:proofErr w:type="gramStart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區代表忠欣股份有限公司</w:t>
            </w:r>
            <w:proofErr w:type="gramEnd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日忠益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102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字第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132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號函修正。</w:t>
            </w:r>
          </w:p>
        </w:tc>
      </w:tr>
      <w:tr w:rsidR="00176F27" w:rsidRPr="00563CD0" w:rsidTr="00176F27">
        <w:trPr>
          <w:trHeight w:val="403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劍橋五級國際英語認證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(Cambridge English)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First Certificate in English (FCE)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聽說讀寫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無分項考試。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LTTC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財團法人語言訓練測驗中心。</w:t>
            </w:r>
          </w:p>
        </w:tc>
      </w:tr>
      <w:tr w:rsidR="00176F27" w:rsidRPr="00176F27" w:rsidTr="00176F27">
        <w:trPr>
          <w:trHeight w:val="517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劍橋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博思職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場英語檢測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(BULATS)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The Association of Language Testers in Europe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(ALTE) Level 3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聽說讀寫</w:t>
            </w:r>
            <w:r w:rsidRPr="00563CD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聽、說、讀、寫可分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項單考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LTTC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財團法人語言訓練測驗中心。</w:t>
            </w:r>
          </w:p>
        </w:tc>
      </w:tr>
      <w:tr w:rsidR="00176F27" w:rsidRPr="00563CD0" w:rsidTr="00176F27">
        <w:trPr>
          <w:trHeight w:val="1251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lastRenderedPageBreak/>
              <w:t>傳統多益英語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測驗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(TOEIC)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750 </w:t>
            </w:r>
          </w:p>
        </w:tc>
        <w:tc>
          <w:tcPr>
            <w:tcW w:w="729" w:type="pct"/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聽讀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 xml:space="preserve">* 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*</w:t>
            </w:r>
            <w:r w:rsidRPr="00563CD0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需另補齊「說、寫」考試成績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傳統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多益成績採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認標準</w:t>
            </w:r>
            <w:proofErr w:type="gramStart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採</w:t>
            </w:r>
            <w:proofErr w:type="gramEnd"/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總分制。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新細明體o浡渀." w:eastAsia="新細明體o浡渀." w:cs="新細明體o浡渀." w:hint="eastAsia"/>
                <w:color w:val="000000"/>
                <w:kern w:val="0"/>
                <w:sz w:val="23"/>
                <w:szCs w:val="23"/>
              </w:rPr>
              <w:t>◎</w:t>
            </w:r>
            <w:r w:rsidRPr="00563CD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此項考試自</w:t>
            </w:r>
            <w:proofErr w:type="gramStart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98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8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31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日起停考</w:t>
            </w:r>
            <w:proofErr w:type="gramEnd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，故成績依行政院</w:t>
            </w:r>
            <w:proofErr w:type="gramStart"/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95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年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月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日院授人力</w:t>
            </w:r>
            <w:proofErr w:type="gramEnd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字第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0950061619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號函之參照標準。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563CD0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</w:t>
            </w:r>
            <w:r w:rsidRPr="00563CD0"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  <w:t>資料參考：</w:t>
            </w:r>
            <w:r w:rsidRPr="00563CD0"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  <w:t>ETS</w:t>
            </w:r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臺灣</w:t>
            </w:r>
            <w:proofErr w:type="gramStart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區代表忠欣股份有限公司</w:t>
            </w:r>
            <w:proofErr w:type="gramEnd"/>
            <w:r w:rsidRPr="00563CD0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。</w:t>
            </w:r>
            <w:r w:rsidRPr="00563CD0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563CD0" w:rsidRPr="00563CD0" w:rsidTr="00176F27">
        <w:trPr>
          <w:trHeight w:val="1251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托福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ITP</w:t>
            </w:r>
            <w:r>
              <w:rPr>
                <w:rFonts w:hAnsi="Times New Roman" w:hint="eastAsia"/>
                <w:sz w:val="23"/>
                <w:szCs w:val="23"/>
              </w:rPr>
              <w:t>測驗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(TOEFL ITP)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</w:t>
            </w:r>
          </w:p>
        </w:tc>
        <w:tc>
          <w:tcPr>
            <w:tcW w:w="729" w:type="pct"/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聽讀</w:t>
            </w:r>
            <w:r>
              <w:rPr>
                <w:sz w:val="23"/>
                <w:szCs w:val="23"/>
              </w:rPr>
              <w:t xml:space="preserve">* </w:t>
            </w:r>
          </w:p>
          <w:p w:rsidR="00563CD0" w:rsidRPr="00176F27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3"/>
                <w:szCs w:val="23"/>
              </w:rPr>
            </w:pPr>
            <w:r w:rsidRPr="0017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Pr="00176F27">
              <w:rPr>
                <w:rFonts w:hAnsi="Times New Roman" w:hint="eastAsia"/>
                <w:b/>
                <w:sz w:val="23"/>
                <w:szCs w:val="23"/>
              </w:rPr>
              <w:t>需另補齊「說、寫」考試成績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cs="標楷體OY..." w:hint="eastAsia"/>
                <w:sz w:val="23"/>
                <w:szCs w:val="23"/>
              </w:rPr>
              <w:t>無寫作及口說考試。</w:t>
            </w:r>
          </w:p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cs="標楷體OY..." w:hint="eastAsia"/>
                <w:sz w:val="23"/>
                <w:szCs w:val="23"/>
              </w:rPr>
              <w:t>對照成績自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100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11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月起更新，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100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11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月前對照成績為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527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。</w:t>
            </w:r>
          </w:p>
          <w:p w:rsidR="00563CD0" w:rsidRP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Wingdings" w:eastAsia="標楷體OY..." w:hAnsi="Wingdings" w:cs="Wingdings"/>
                <w:sz w:val="23"/>
                <w:szCs w:val="23"/>
              </w:rPr>
              <w:t></w:t>
            </w:r>
            <w:r>
              <w:rPr>
                <w:rFonts w:ascii="標楷體OY..." w:eastAsia="標楷體OY..." w:hAnsi="Wingdings" w:cs="標楷體OY..." w:hint="eastAsia"/>
                <w:sz w:val="23"/>
                <w:szCs w:val="23"/>
              </w:rPr>
              <w:t>資料參考：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ETS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臺灣</w:t>
            </w:r>
            <w:proofErr w:type="gramStart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區代表忠欣股份有限公司</w:t>
            </w:r>
            <w:proofErr w:type="gramEnd"/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102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24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日忠益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102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字第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132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號函修正。</w:t>
            </w:r>
          </w:p>
        </w:tc>
      </w:tr>
      <w:tr w:rsidR="00563CD0" w:rsidRPr="00563CD0" w:rsidTr="00176F27">
        <w:trPr>
          <w:trHeight w:val="1251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托福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CBT</w:t>
            </w:r>
            <w:r>
              <w:rPr>
                <w:rFonts w:hAnsi="Times New Roman" w:hint="eastAsia"/>
                <w:sz w:val="23"/>
                <w:szCs w:val="23"/>
              </w:rPr>
              <w:t>測驗</w:t>
            </w:r>
          </w:p>
          <w:p w:rsidR="00563CD0" w:rsidRPr="00563CD0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(TOEFL CBT) </w:t>
            </w:r>
          </w:p>
        </w:tc>
        <w:tc>
          <w:tcPr>
            <w:tcW w:w="910" w:type="pct"/>
          </w:tcPr>
          <w:p w:rsidR="00563CD0" w:rsidRP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</w:t>
            </w:r>
          </w:p>
        </w:tc>
        <w:tc>
          <w:tcPr>
            <w:tcW w:w="729" w:type="pct"/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聽讀寫</w:t>
            </w:r>
            <w:r>
              <w:rPr>
                <w:sz w:val="23"/>
                <w:szCs w:val="23"/>
              </w:rPr>
              <w:t xml:space="preserve">* </w:t>
            </w:r>
          </w:p>
          <w:p w:rsidR="00563CD0" w:rsidRPr="00176F27" w:rsidRDefault="00563CD0" w:rsidP="00563CD0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3"/>
                <w:szCs w:val="23"/>
              </w:rPr>
            </w:pPr>
            <w:r w:rsidRPr="0017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Pr="00176F27">
              <w:rPr>
                <w:rFonts w:hAnsi="Times New Roman" w:hint="eastAsia"/>
                <w:b/>
                <w:sz w:val="23"/>
                <w:szCs w:val="23"/>
              </w:rPr>
              <w:t>需另補齊「說」考試成績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proofErr w:type="gramStart"/>
            <w:r>
              <w:rPr>
                <w:rFonts w:ascii="標楷體OY..." w:eastAsia="標楷體OY..." w:cs="標楷體OY..." w:hint="eastAsia"/>
                <w:sz w:val="23"/>
                <w:szCs w:val="23"/>
              </w:rPr>
              <w:t>無口說</w:t>
            </w:r>
            <w:proofErr w:type="gramEnd"/>
            <w:r>
              <w:rPr>
                <w:rFonts w:ascii="標楷體OY..." w:eastAsia="標楷體OY..." w:cs="標楷體OY..." w:hint="eastAsia"/>
                <w:sz w:val="23"/>
                <w:szCs w:val="23"/>
              </w:rPr>
              <w:t>考試。</w:t>
            </w:r>
          </w:p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cs="標楷體OY..." w:hint="eastAsia"/>
                <w:sz w:val="23"/>
                <w:szCs w:val="23"/>
              </w:rPr>
              <w:t>此項考試自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95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30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日起停辦，故成績依行政院</w:t>
            </w:r>
            <w:proofErr w:type="gramStart"/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95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日院授人力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字第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0950061619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號函之參照標準。</w:t>
            </w:r>
          </w:p>
          <w:p w:rsidR="00563CD0" w:rsidRP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Wingdings" w:eastAsia="標楷體OY..." w:hAnsi="Wingdings" w:cs="Wingdings"/>
                <w:sz w:val="23"/>
                <w:szCs w:val="23"/>
              </w:rPr>
              <w:t></w:t>
            </w:r>
            <w:r>
              <w:rPr>
                <w:rFonts w:ascii="標楷體OY..." w:eastAsia="標楷體OY..." w:hAnsi="Wingdings" w:cs="標楷體OY..." w:hint="eastAsia"/>
                <w:sz w:val="23"/>
                <w:szCs w:val="23"/>
              </w:rPr>
              <w:t>資料參考：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ETS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臺灣</w:t>
            </w:r>
            <w:proofErr w:type="gramStart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區代表忠欣股份有限公司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。</w:t>
            </w:r>
          </w:p>
        </w:tc>
      </w:tr>
      <w:tr w:rsidR="00563CD0" w:rsidRPr="00563CD0" w:rsidTr="00176F27">
        <w:trPr>
          <w:trHeight w:val="1251"/>
          <w:jc w:val="center"/>
        </w:trPr>
        <w:tc>
          <w:tcPr>
            <w:tcW w:w="1198" w:type="pct"/>
            <w:tcBorders>
              <w:lef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托福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PBT</w:t>
            </w:r>
            <w:r>
              <w:rPr>
                <w:rFonts w:hAnsi="Times New Roman" w:hint="eastAsia"/>
                <w:sz w:val="23"/>
                <w:szCs w:val="23"/>
              </w:rPr>
              <w:t>測驗</w:t>
            </w:r>
          </w:p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(TOEFL PBT) </w:t>
            </w:r>
          </w:p>
        </w:tc>
        <w:tc>
          <w:tcPr>
            <w:tcW w:w="910" w:type="pct"/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聽力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>
              <w:rPr>
                <w:rFonts w:hAnsi="Times New Roman" w:hint="eastAsia"/>
                <w:sz w:val="23"/>
                <w:szCs w:val="23"/>
              </w:rPr>
              <w:t>閱讀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  <w:r>
              <w:rPr>
                <w:rFonts w:hAnsi="Times New Roman" w:hint="eastAsia"/>
                <w:sz w:val="23"/>
                <w:szCs w:val="23"/>
              </w:rPr>
              <w:t>；寫作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</w:tc>
        <w:tc>
          <w:tcPr>
            <w:tcW w:w="729" w:type="pct"/>
          </w:tcPr>
          <w:p w:rsidR="00563CD0" w:rsidRDefault="00563CD0" w:rsidP="00563C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聽讀寫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</w:p>
          <w:p w:rsidR="00563CD0" w:rsidRPr="00176F27" w:rsidRDefault="00563CD0" w:rsidP="00563CD0">
            <w:pPr>
              <w:pStyle w:val="Default"/>
              <w:rPr>
                <w:b/>
                <w:sz w:val="23"/>
                <w:szCs w:val="23"/>
              </w:rPr>
            </w:pPr>
            <w:r w:rsidRPr="0017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Pr="00176F27">
              <w:rPr>
                <w:rFonts w:hAnsi="Times New Roman" w:hint="eastAsia"/>
                <w:b/>
                <w:sz w:val="23"/>
                <w:szCs w:val="23"/>
              </w:rPr>
              <w:t>需另補齊「說」考試成績</w:t>
            </w:r>
          </w:p>
        </w:tc>
        <w:tc>
          <w:tcPr>
            <w:tcW w:w="2163" w:type="pct"/>
            <w:tcBorders>
              <w:righ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proofErr w:type="gramStart"/>
            <w:r>
              <w:rPr>
                <w:rFonts w:ascii="標楷體OY..." w:eastAsia="標楷體OY..." w:cs="標楷體OY..." w:hint="eastAsia"/>
                <w:sz w:val="23"/>
                <w:szCs w:val="23"/>
              </w:rPr>
              <w:t>無口說</w:t>
            </w:r>
            <w:proofErr w:type="gramEnd"/>
            <w:r>
              <w:rPr>
                <w:rFonts w:ascii="標楷體OY..." w:eastAsia="標楷體OY..." w:cs="標楷體OY..." w:hint="eastAsia"/>
                <w:sz w:val="23"/>
                <w:szCs w:val="23"/>
              </w:rPr>
              <w:t>考試；寫作考試成績依其能力描述之評分表，寫作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分約等同於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CEF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之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B2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級成績。</w:t>
            </w:r>
          </w:p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部份區域</w:t>
            </w:r>
            <w:proofErr w:type="gramStart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已停考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。臺灣地區於</w:t>
            </w:r>
            <w:proofErr w:type="gramStart"/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90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年停考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。</w:t>
            </w:r>
          </w:p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此項考試成績依行政院</w:t>
            </w:r>
            <w:proofErr w:type="gramStart"/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95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4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日院授人力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字第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0950061619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號函之參照標準。</w:t>
            </w:r>
          </w:p>
          <w:p w:rsidR="00563CD0" w:rsidRP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Wingdings" w:eastAsia="標楷體OY..." w:hAnsi="Wingdings" w:cs="Wingdings"/>
                <w:sz w:val="23"/>
                <w:szCs w:val="23"/>
              </w:rPr>
              <w:t></w:t>
            </w:r>
            <w:r>
              <w:rPr>
                <w:rFonts w:ascii="標楷體OY..." w:eastAsia="標楷體OY..." w:hAnsi="Wingdings" w:cs="標楷體OY..." w:hint="eastAsia"/>
                <w:sz w:val="23"/>
                <w:szCs w:val="23"/>
              </w:rPr>
              <w:t>資料參考：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ETS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臺灣</w:t>
            </w:r>
            <w:proofErr w:type="gramStart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區代表忠欣股份有限公司</w:t>
            </w:r>
            <w:proofErr w:type="gramEnd"/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。</w:t>
            </w:r>
          </w:p>
        </w:tc>
      </w:tr>
      <w:tr w:rsidR="00563CD0" w:rsidRPr="00563CD0" w:rsidTr="00176F27">
        <w:trPr>
          <w:trHeight w:val="1251"/>
          <w:jc w:val="center"/>
        </w:trPr>
        <w:tc>
          <w:tcPr>
            <w:tcW w:w="1198" w:type="pct"/>
            <w:tcBorders>
              <w:left w:val="single" w:sz="24" w:space="0" w:color="auto"/>
              <w:bottom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外語能力測驗</w:t>
            </w:r>
            <w:r>
              <w:rPr>
                <w:sz w:val="23"/>
                <w:szCs w:val="23"/>
              </w:rPr>
              <w:t xml:space="preserve"> </w:t>
            </w:r>
          </w:p>
          <w:p w:rsidR="00563CD0" w:rsidRP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(FLPT) </w:t>
            </w:r>
          </w:p>
        </w:tc>
        <w:tc>
          <w:tcPr>
            <w:tcW w:w="910" w:type="pct"/>
            <w:tcBorders>
              <w:bottom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聽力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>
              <w:rPr>
                <w:rFonts w:hAnsi="Times New Roman" w:hint="eastAsia"/>
                <w:sz w:val="23"/>
                <w:szCs w:val="23"/>
              </w:rPr>
              <w:t>閱讀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  <w:r>
              <w:rPr>
                <w:rFonts w:hAnsi="Times New Roman" w:hint="eastAsia"/>
                <w:sz w:val="23"/>
                <w:szCs w:val="23"/>
              </w:rPr>
              <w:t>；口說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S-2+ </w:t>
            </w:r>
          </w:p>
        </w:tc>
        <w:tc>
          <w:tcPr>
            <w:tcW w:w="729" w:type="pct"/>
            <w:tcBorders>
              <w:bottom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聽說讀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</w:p>
          <w:p w:rsidR="00563CD0" w:rsidRPr="00176F27" w:rsidRDefault="00563CD0" w:rsidP="00563CD0">
            <w:pPr>
              <w:pStyle w:val="Default"/>
              <w:rPr>
                <w:b/>
                <w:sz w:val="23"/>
                <w:szCs w:val="23"/>
              </w:rPr>
            </w:pPr>
            <w:r w:rsidRPr="00176F2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Pr="00176F27">
              <w:rPr>
                <w:rFonts w:hAnsi="Times New Roman" w:hint="eastAsia"/>
                <w:b/>
                <w:sz w:val="23"/>
                <w:szCs w:val="23"/>
              </w:rPr>
              <w:t>需另補齊「寫」考試成績</w:t>
            </w:r>
          </w:p>
        </w:tc>
        <w:tc>
          <w:tcPr>
            <w:tcW w:w="2163" w:type="pct"/>
            <w:tcBorders>
              <w:bottom w:val="single" w:sz="24" w:space="0" w:color="auto"/>
              <w:right w:val="single" w:sz="24" w:space="0" w:color="auto"/>
            </w:tcBorders>
          </w:tcPr>
          <w:p w:rsidR="00563CD0" w:rsidRDefault="00563CD0" w:rsidP="00563CD0">
            <w:pPr>
              <w:pStyle w:val="Default"/>
              <w:rPr>
                <w:rFonts w:ascii="標楷體OY..." w:eastAsia="標楷體OY..." w:cs="標楷體OY...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cs="標楷體OY..." w:hint="eastAsia"/>
                <w:sz w:val="23"/>
                <w:szCs w:val="23"/>
              </w:rPr>
              <w:t>「聽、讀」合併考；</w:t>
            </w:r>
            <w:proofErr w:type="gramStart"/>
            <w:r>
              <w:rPr>
                <w:rFonts w:ascii="標楷體OY..." w:eastAsia="標楷體OY..." w:cs="標楷體OY..." w:hint="eastAsia"/>
                <w:sz w:val="23"/>
                <w:szCs w:val="23"/>
              </w:rPr>
              <w:t>可單考</w:t>
            </w:r>
            <w:proofErr w:type="gramEnd"/>
            <w:r>
              <w:rPr>
                <w:rFonts w:ascii="標楷體OY..." w:eastAsia="標楷體OY..." w:cs="標楷體OY..." w:hint="eastAsia"/>
                <w:sz w:val="23"/>
                <w:szCs w:val="23"/>
              </w:rPr>
              <w:t>「口說」；無寫作考試。</w:t>
            </w:r>
          </w:p>
          <w:p w:rsidR="00563CD0" w:rsidRDefault="00563CD0" w:rsidP="00563CD0">
            <w:pPr>
              <w:pStyle w:val="Default"/>
              <w:rPr>
                <w:rFonts w:ascii="標楷體OY..." w:eastAsia="標楷體OY..." w:hAnsi="Times New Roman" w:cs="標楷體OY...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◎</w:t>
            </w:r>
            <w:r>
              <w:rPr>
                <w:rFonts w:ascii="標楷體OY..." w:eastAsia="標楷體OY..." w:cs="標楷體OY..." w:hint="eastAsia"/>
                <w:sz w:val="23"/>
                <w:szCs w:val="23"/>
              </w:rPr>
              <w:t>對照成績自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98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年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11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月起更新。</w:t>
            </w:r>
          </w:p>
          <w:p w:rsidR="00563CD0" w:rsidRPr="00563CD0" w:rsidRDefault="00563CD0" w:rsidP="00563CD0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ascii="Wingdings" w:eastAsia="標楷體OY..." w:hAnsi="Wingdings" w:cs="Wingdings"/>
                <w:sz w:val="23"/>
                <w:szCs w:val="23"/>
              </w:rPr>
              <w:t></w:t>
            </w:r>
            <w:r>
              <w:rPr>
                <w:rFonts w:ascii="標楷體OY..." w:eastAsia="標楷體OY..." w:hAnsi="Wingdings" w:cs="標楷體OY..." w:hint="eastAsia"/>
                <w:sz w:val="23"/>
                <w:szCs w:val="23"/>
              </w:rPr>
              <w:t>資料參考：</w:t>
            </w:r>
            <w:r>
              <w:rPr>
                <w:rFonts w:ascii="Times New Roman" w:eastAsia="標楷體OY..." w:hAnsi="Times New Roman" w:cs="Times New Roman"/>
                <w:sz w:val="23"/>
                <w:szCs w:val="23"/>
              </w:rPr>
              <w:t>LTTC</w:t>
            </w:r>
            <w:r>
              <w:rPr>
                <w:rFonts w:ascii="標楷體OY..." w:eastAsia="標楷體OY..." w:hAnsi="Times New Roman" w:cs="標楷體OY..." w:hint="eastAsia"/>
                <w:sz w:val="23"/>
                <w:szCs w:val="23"/>
              </w:rPr>
              <w:t>財團法人語言訓練測驗中心。</w:t>
            </w:r>
          </w:p>
        </w:tc>
      </w:tr>
    </w:tbl>
    <w:p w:rsidR="00563CD0" w:rsidRPr="00563CD0" w:rsidRDefault="00563CD0" w:rsidP="00563CD0">
      <w:pPr>
        <w:autoSpaceDE w:val="0"/>
        <w:autoSpaceDN w:val="0"/>
        <w:adjustRightInd w:val="0"/>
        <w:rPr>
          <w:rFonts w:ascii="標楷體U恙..." w:eastAsia="標楷體U恙..." w:cs="標楷體U恙..."/>
          <w:color w:val="000000"/>
          <w:kern w:val="0"/>
          <w:sz w:val="23"/>
          <w:szCs w:val="23"/>
        </w:rPr>
      </w:pPr>
      <w:r w:rsidRPr="00563CD0">
        <w:rPr>
          <w:rFonts w:ascii="標楷體U恙..." w:eastAsia="標楷體U恙..." w:cs="標楷體U恙..." w:hint="eastAsia"/>
          <w:color w:val="000000"/>
          <w:kern w:val="0"/>
          <w:sz w:val="23"/>
          <w:szCs w:val="23"/>
        </w:rPr>
        <w:t>說明：</w:t>
      </w:r>
      <w:r w:rsidRPr="00563CD0">
        <w:rPr>
          <w:rFonts w:ascii="標楷體U恙..." w:eastAsia="標楷體U恙..." w:cs="標楷體U恙..."/>
          <w:color w:val="000000"/>
          <w:kern w:val="0"/>
          <w:sz w:val="23"/>
          <w:szCs w:val="23"/>
        </w:rPr>
        <w:t xml:space="preserve"> </w:t>
      </w:r>
    </w:p>
    <w:p w:rsidR="00563CD0" w:rsidRPr="00563CD0" w:rsidRDefault="00563CD0" w:rsidP="00563CD0">
      <w:pPr>
        <w:autoSpaceDE w:val="0"/>
        <w:autoSpaceDN w:val="0"/>
        <w:adjustRightInd w:val="0"/>
        <w:spacing w:after="74"/>
        <w:rPr>
          <w:rFonts w:ascii="標楷體U恙..." w:eastAsia="標楷體U恙..." w:hAnsi="Book Antiqua" w:cs="標楷體U恙..."/>
          <w:color w:val="000000"/>
          <w:kern w:val="0"/>
          <w:sz w:val="23"/>
          <w:szCs w:val="23"/>
        </w:rPr>
      </w:pP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 xml:space="preserve">1. 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本表依據教育部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101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年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3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月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3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日</w:t>
      </w:r>
      <w:proofErr w:type="gramStart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臺</w:t>
      </w:r>
      <w:proofErr w:type="gramEnd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中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(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二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)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字第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1010027404C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號令及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102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年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6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月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24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日</w:t>
      </w:r>
      <w:proofErr w:type="gramStart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臺</w:t>
      </w:r>
      <w:proofErr w:type="gramEnd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教師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(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二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)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字第</w:t>
      </w:r>
      <w:r w:rsidRPr="00563CD0">
        <w:rPr>
          <w:rFonts w:ascii="Book Antiqua" w:eastAsia="標楷體U恙..." w:hAnsi="Book Antiqua" w:cs="Book Antiqua"/>
          <w:color w:val="000000"/>
          <w:kern w:val="0"/>
          <w:sz w:val="23"/>
          <w:szCs w:val="23"/>
        </w:rPr>
        <w:t>1020070582B</w:t>
      </w:r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號令修正發布「中等學校各任教學科</w:t>
      </w:r>
      <w:proofErr w:type="gramStart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領域群科師資</w:t>
      </w:r>
      <w:proofErr w:type="gramEnd"/>
      <w:r w:rsidRPr="00563CD0">
        <w:rPr>
          <w:rFonts w:ascii="標楷體U恙..." w:eastAsia="標楷體U恙..." w:hAnsi="Book Antiqua" w:cs="標楷體U恙..." w:hint="eastAsia"/>
          <w:color w:val="000000"/>
          <w:kern w:val="0"/>
          <w:sz w:val="23"/>
          <w:szCs w:val="23"/>
        </w:rPr>
        <w:t>職前教育專門課程科目及學分對照表實施要點」訂定。</w:t>
      </w:r>
    </w:p>
    <w:p w:rsidR="00563CD0" w:rsidRPr="00563CD0" w:rsidRDefault="00563CD0" w:rsidP="00563CD0">
      <w:pPr>
        <w:autoSpaceDE w:val="0"/>
        <w:autoSpaceDN w:val="0"/>
        <w:adjustRightInd w:val="0"/>
        <w:spacing w:after="74"/>
        <w:rPr>
          <w:rFonts w:ascii="標楷體U恙..." w:eastAsia="標楷體U恙..." w:hAnsi="Times New Roman" w:cs="標楷體U恙..."/>
          <w:color w:val="000000"/>
          <w:kern w:val="0"/>
          <w:sz w:val="23"/>
          <w:szCs w:val="23"/>
        </w:rPr>
      </w:pP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 xml:space="preserve">2. 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本表所訂之參照標準適用於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102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學年度起之師資生；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101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學年度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(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含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)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以前得適用之。</w:t>
      </w:r>
    </w:p>
    <w:p w:rsidR="00563CD0" w:rsidRPr="00563CD0" w:rsidRDefault="00563CD0" w:rsidP="00DD42BA">
      <w:pPr>
        <w:autoSpaceDE w:val="0"/>
        <w:autoSpaceDN w:val="0"/>
        <w:adjustRightInd w:val="0"/>
        <w:spacing w:after="74"/>
        <w:rPr>
          <w:rFonts w:ascii="標楷體U恙..." w:eastAsia="標楷體U恙..." w:hAnsi="Times New Roman" w:cs="標楷體U恙..."/>
          <w:color w:val="000000"/>
          <w:kern w:val="0"/>
          <w:sz w:val="23"/>
          <w:szCs w:val="23"/>
        </w:rPr>
      </w:pP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 xml:space="preserve">3. 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符合相當於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CEF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語言參考架構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B2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級以上英語考試檢定及格證書，無年限之限制，惟須包含聽、說、讀、寫</w:t>
      </w: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>4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項檢測，如有</w:t>
      </w:r>
      <w:proofErr w:type="gramStart"/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缺漏仍須</w:t>
      </w:r>
      <w:proofErr w:type="gramEnd"/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補足該項成績，始得申請辦理</w:t>
      </w:r>
      <w:r w:rsidR="00DD42BA" w:rsidRPr="00DD42BA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「國民中學語文學習領域英語主修專長及高級中等學校英文科」</w:t>
      </w:r>
      <w:r w:rsidR="00DD42BA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、</w:t>
      </w:r>
      <w:r w:rsidR="00DD42BA" w:rsidRPr="00DD42BA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「國民中學語文學習領域英語主修專長」</w:t>
      </w:r>
      <w:r w:rsidR="00DD42BA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、</w:t>
      </w:r>
      <w:bookmarkStart w:id="0" w:name="_GoBack"/>
      <w:bookmarkEnd w:id="0"/>
      <w:r w:rsidR="00DD42BA" w:rsidRPr="00DD42BA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「高級中等學校英文科」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專門課程學分證明。</w:t>
      </w:r>
    </w:p>
    <w:p w:rsidR="00E24162" w:rsidRPr="00176F27" w:rsidRDefault="00563CD0" w:rsidP="00176F27">
      <w:pPr>
        <w:autoSpaceDE w:val="0"/>
        <w:autoSpaceDN w:val="0"/>
        <w:adjustRightInd w:val="0"/>
        <w:rPr>
          <w:rFonts w:ascii="標楷體U恙..." w:eastAsia="標楷體U恙..." w:hAnsi="Times New Roman" w:cs="標楷體U恙..."/>
          <w:color w:val="000000"/>
          <w:kern w:val="0"/>
          <w:sz w:val="23"/>
          <w:szCs w:val="23"/>
        </w:rPr>
      </w:pPr>
      <w:r w:rsidRPr="00563CD0">
        <w:rPr>
          <w:rFonts w:ascii="Times New Roman" w:eastAsia="標楷體U恙..." w:hAnsi="Times New Roman" w:cs="Times New Roman"/>
          <w:color w:val="000000"/>
          <w:kern w:val="0"/>
          <w:sz w:val="23"/>
          <w:szCs w:val="23"/>
        </w:rPr>
        <w:t xml:space="preserve">4. </w:t>
      </w:r>
      <w:proofErr w:type="gramStart"/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本表經中心</w:t>
      </w:r>
      <w:proofErr w:type="gramEnd"/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會議</w:t>
      </w:r>
      <w:r w:rsidR="00176F27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通過</w:t>
      </w:r>
      <w:r w:rsidRPr="00563CD0">
        <w:rPr>
          <w:rFonts w:ascii="標楷體U恙..." w:eastAsia="標楷體U恙..." w:hAnsi="Times New Roman" w:cs="標楷體U恙..." w:hint="eastAsia"/>
          <w:color w:val="000000"/>
          <w:kern w:val="0"/>
          <w:sz w:val="23"/>
          <w:szCs w:val="23"/>
        </w:rPr>
        <w:t>後實施，修正時亦同。</w:t>
      </w:r>
    </w:p>
    <w:sectPr w:rsidR="00E24162" w:rsidRPr="00176F27" w:rsidSect="00563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i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OY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U恙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0"/>
    <w:rsid w:val="00176F27"/>
    <w:rsid w:val="00563CD0"/>
    <w:rsid w:val="00A56F5F"/>
    <w:rsid w:val="00DD42BA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C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C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3</cp:revision>
  <dcterms:created xsi:type="dcterms:W3CDTF">2014-06-04T08:41:00Z</dcterms:created>
  <dcterms:modified xsi:type="dcterms:W3CDTF">2014-06-04T09:33:00Z</dcterms:modified>
</cp:coreProperties>
</file>